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and Design of an Agentic AI-Enabled Policy Administration System for Life Insurance Underwriting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life insurance landscape is undergoing a structural transition from legacy, document-heavy processing models toward integrated, data-first underwriting ecosystems. This evolution is necessitated by an escalating need for operational efficiency, as traditional underwriting workflows currently see approximately 30 percent to 40 percent of an underwriter’s daily capacity absorbed by non-core administrative functions.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the industry moves toward 2030, the adoption of Agentic Artificial Intelligence (AI) within Policy Administration Systems (PAS) is emerging as the primary mechanism to bridge the gap between human judgment and algorithmic speed. This report provides a comprehensive blueprint for an enterprise-grade underwriting workstation, designed to function with the precision of a capital-markets trading desk or a clinical diagnostic platform. The architecture emphasizes human-in-the-loop (HITL) governance, ensuring that while AI agents perform complex data aggregation, pattern recognition, and drafting, the human underwriter retains absolute authority over risk decisions, overrides, and final ethical evaluations.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Foundations of Modern Underwriting Design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design philosophy for a next-generation PAS must transcend the limitations of consumer-grade applications, prioritizing data density, clarity, and trust. In the context of life insurance, where decisions carry profound financial and personal consequences, the user interface (UI) serves as a silent brand ambassador for reliability.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aesthetic direction utilizes a restrained palette of navy blue, teal accents, and neutral greys to evoke a sense of professional rigor and regulatory seriousness.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restrained visual language minimizes cognitive friction, allowing underwriters to navigate high-volume, high-complexity risk evaluation workflows without the distraction of unnecessary graphical clutter.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structural core of the workstation is the three-pane workspace model, an organization of information designed to provide a "single pane of glass" view into the insurance lifecycle.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model integrates a navigation and prioritization layer for workload orchestration, a central decision workspace for deep case analysis, and a persistent Agentic AI Co-pilot sidebar that functions as an intelligent underwriting assistant rather than a passive chatbot.</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Such a layout is critical for reducing "cycle time drag," where quote turnaround is often delayed by the need to toggle between disparate legacy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Environment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Agentic PAS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Fragmented, document-centric, "dark data" trapped in PDFs.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Data-first, normalized at intake, structured via Vision-Language Models.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Sequential, manual, paper-intensive reviews.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Parallel, orchestrated, exception-based straight-through processing (STP).</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Decision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Static rules, human-led data retrieval, delayed feedback.</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Dynamic reasoning, AI-led insight surfacing, real-time impact simulations.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Opaque "black-box" decisions, manual audit trails.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Explainable AI (XAI), transparent reasoning chains, automated compliance packs.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Underwriter Mission Control: The Primary Dashboard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landing experience for a modern underwriter functions as a mission-control hub, engineered to facilitate rapid triage and workload prioritization. The dashboard organizes cases based on AI-driven urgency and risk signals, moving beyond simple chronological queues [User Query]. Urgency indicators include high face amount applications, adverse medical indicators detected during initial ingestion, and cases nearing a breach of Service Level Agreements (SLAs).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Pipeline Metrics and Real-Time Visualization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central component of the dashboard is the real-time pipeline visualization, which employs compact charts and counters to show the status of all applications—from initial submission to final issuance [User Query]. This provides managers and individual underwriters with a holistic view of the "book of business," enabling them to identify bottlenecks in real time.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 and Significance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Average Turnaround Time (TAT)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Total duration from intake to final decision.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Reduction from days/weeks to hours or minutes.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Decision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Alignment of automated and human decisions with historical benchmarks.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Consistency levels exceeding 99 percent accuracy.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Override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Rate at which underwriters diverge from AI recommendations.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Provides a continuous learning loop for AI refinement.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Audit Findings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Frequency of compliance flags or data discrepancies.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Near-total automation of sanctions and regulatory checks.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dashboard also integrates personal and team-level KPIs, reinforcing accountability. For example, the "Decision Accuracy" metric compares current risk assessments against historical outcomes and peer-reviewed standards, while "Override Frequency" highlights areas where the underlying AI model may require refinement based on expert judgment.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AI-Flagged Alerts and Anomaly Detection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transformative features of the mission control view is the integration of proactive alerts for data anomalies. Rather than waiting for an underwriter to discover a conflict during a manual review, the agentic system flags issues such as income-coverage mismatches, abnormal laboratory trends (e.g., oscillating glucose levels), or undisclosed high-risk avocations like skydiving.</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Each alert is actionable; clicking a "High Risk" badge immediately jumps the user into the relevant case context with the specific document or data field highlighted.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Intelligent Case Workspace: The Core Cockpit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workspace functions as a consolidated underwriting cockpit, where all relevant data points—demographics, medical history, laboratory results, and financial justifications—are presented in structured, collapsible sections [User Query]. This organization addresses the "unstructured submission" challenge, where information is traditionally scattered across hundreds of pages of paperwork.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Normalization and Medical Evaluation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utilizes Vision-Language Models (VLMs) and Intelligent Document Processing (IDP) to visually normalize data across disparate sources.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For instance, medical disclosures from an initial application are compared against Physician’s Statements and Medical Information Bureau (MIB) reports.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AI-highlighted fields indicate elevated risks, missing data, or inconsistencies, such as a mismatch between a declared non-smoker status and laboratory findings indicating cotinine presence.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Life &amp; Annuities (L&amp;AH), the workspace organizes data according to ACORD standardized forms, ensuring interoperability across the global insurance ecosystem.</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ACORD Form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 in Underwriting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Points Collected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Forms 701-703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Life Application (Parts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Basic demographics, coverage details, primary health disclosures.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 704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Supplemental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Detailed lifestyle and secondary risk factors.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Forms 705-710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Avocation Questionnaires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High-risk activities like aviation, racing, or diving.</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 782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Paramedical Examiner's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Clinical measurements, blood/urine labs, detailed medical history.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 765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Agent's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Field observations and initial risk impressions.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r>
    </w:tbl>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Agentic AI Co-pilot Sidebar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persistent Agentic AI Co-pilot Sidebar remains visible throughout the case evaluation, operating as an active reasoning engine rather than a passive assistant.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sidebar proactively surfaces insights in real time, including:</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Risk Scores:</w:t>
      </w:r>
      <w:r w:rsidDel="00000000" w:rsidR="00000000" w:rsidRPr="00000000">
        <w:rPr>
          <w:rFonts w:ascii="Google Sans Text" w:cs="Google Sans Text" w:eastAsia="Google Sans Text" w:hAnsi="Google Sans Text"/>
          <w:color w:val="1f1f1f"/>
          <w:rtl w:val="0"/>
        </w:rPr>
        <w:t xml:space="preserve"> An evolving assessment of the applicant's risk profile, accompanied by a detailed explanatory rationale.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Narrative Summaries:</w:t>
      </w:r>
      <w:r w:rsidDel="00000000" w:rsidR="00000000" w:rsidRPr="00000000">
        <w:rPr>
          <w:rFonts w:ascii="Google Sans Text" w:cs="Google Sans Text" w:eastAsia="Google Sans Text" w:hAnsi="Google Sans Text"/>
          <w:color w:val="1f1f1f"/>
          <w:rtl w:val="0"/>
        </w:rPr>
        <w:t xml:space="preserve"> Synthesis of complex medical and financial histories into concise, human-readable paragraphs.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Discrepancy Detection:</w:t>
      </w:r>
      <w:r w:rsidDel="00000000" w:rsidR="00000000" w:rsidRPr="00000000">
        <w:rPr>
          <w:rFonts w:ascii="Google Sans Text" w:cs="Google Sans Text" w:eastAsia="Google Sans Text" w:hAnsi="Google Sans Text"/>
          <w:color w:val="1f1f1f"/>
          <w:rtl w:val="0"/>
        </w:rPr>
        <w:t xml:space="preserve"> Automated comparison between declared data and source documents, such as identifying a conflict between stated income and tax filings.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Co-pilot also suggests specific underwriting actions based on rule logic and regulatory constraints. If a medical record indicates a history of hypertension, the AI may suggest requesting an updated Attending Physician's Statement (APS) or a tele-interview to clarify current management of the condition.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One-click actions allow the AI to draft conditional offers or declination justifications in compliant underwriting language, which the underwriter can then review, edit, and approve.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Decisioning, Simulation, and Impact Preview</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Decisioning and Action Panel is a contextual interface that evolves based on the stage of the underwriting process. It enables underwriters to apply complex rating structures—including table ratings, flat extras, and exclusions—with AI-assisted calculations and immediate impact previews.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Ratings and Premium Loadings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life insurance, risk evaluation frequently leads to the assignment of "substandard" ratings when an applicant does not qualify for Super Preferred or Standard rates.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workstation allows underwriters to navigate these complexities with automated premium impact previews.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Rating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 of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Common Risk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Average risk; baseline premium.</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Managed health, non-smoking, clean driving record.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 Ratings (1-10 / 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Structured percentage surcharge (approx. +25% per table).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Chronic conditions (Diabetes, Hypertension), obesity.</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Flat Extras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Fixed dollar charge per $1,000 of coverage.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Risky activities (skydiving), recent but stable medical history.</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Exclusions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Removal of specific coverages from the policy.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Known chronic localized medical issues (e.g., knee surgery history).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supports "Table Shave" programs, where a low table rating (e.g., Table 1) might be reduced to Standard if the overall profile is exceptionally strong.</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AI Co-pilot facilitates this by identifying "credits" that offset certain risk factors, such as a high-risk BMI being offset by excellent cardiovascular lab results.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Simulations and Reinsurer Alignment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innovation in the decisioning panel is the ability for the AI to simulate alternative decisions. An underwriter can compare an "Approve with Table D" scenario against a "Decline" or "Postpone" option.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simulation presents comparative insights into risk, long-term profitability, and alignment with reinsurer treaties.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final decisions are reached, the system automatically generates underwriting notes and decision rationales. These documents are explicitly labeled as AI-assisted and remain fully editable by the underwriter [User Query]. This step is vital for meeting regulatory requirements for "Adverse Action Notices," ensuring that the specific reasons for a premium increase or declination are clear, rational, and legally defensible.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 Hub and Vision-Language Orchestration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Evidence Hub is an embedded interface component designed to handle the massive volume of unstructured data inherent in life insurance.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It supports side-by-side viewing of original documents—such as lab reports, financial statements, and inspection reports—alongside the structured data fields extracted by the AI.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OCR and Contextual Extraction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Agentic AI capabilities in the hub include Optical Character Recognition (OCR) powered by models like Mistral OCR, which can comprehend interleaved text, images, tables, and even complex mathematical equations in medical reports.</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This "Optical Context Recognition" allows the system to not only read the word "Amount" but to understand if the surrounding table's math is consistent with the figures provided.</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performs semantic tagging and automated cross-checks. If a user-provided self-report lists an annual income of $200,000, but a scanned W-2 form shows $150,000, the system visually flags the discrepancy with a "Confidence Indicator".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These markers help underwriters focus their attention on the most critical areas of investigation, reducing the time spent on manual data verification by up to 95 percent in certain cases.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Document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Orchestration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Extraction Depth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Physician’s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NLP-based entity extraction and sentiment analysis.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Identification of chronic conditions, treatment adherence, and "dark data" insights.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Laboratory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Pattern recognition and temporal analysis.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Comparison of blood panels against age-gender mortality tables.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Table reconstruction and mathematical validation.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Identification of cash flow warning signs and income-to-coverage ratios.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Motor Vehicle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Automated clearance and regulatory check.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Mapping of violations to risk tiers and rating impact.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Agentic AI Audit Trail and Explainability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highly regulated insurance sector, accountability is a prerequisite for innovation.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Agentic AI Audit Trail is a dedicated section of the workstation that visualizes the AI’s reasoning chain, providing transparency into how a recommendation was formulated.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Visualizing the Reasoning Chain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Using techniques like Agentic Knowledge Graphs and the A2UI (Agent-to-UI) framework, the system renders the agent's internal decision process as a series of observable nodes and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For example, a graph might show how "High BMI" (node A) combined with "Family History of Heart Disease" (node B) led to a "Recommendation for Table C" (node C) based on "Underwriting Rule 14.5" (relationship link).</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UI presents: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Signals Considered:</w:t>
      </w:r>
      <w:r w:rsidDel="00000000" w:rsidR="00000000" w:rsidRPr="00000000">
        <w:rPr>
          <w:rFonts w:ascii="Google Sans Text" w:cs="Google Sans Text" w:eastAsia="Google Sans Text" w:hAnsi="Google Sans Text"/>
          <w:color w:val="1f1f1f"/>
          <w:rtl w:val="0"/>
        </w:rPr>
        <w:t xml:space="preserve"> A list of all data points used in the decision, including their relative weighting.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Comparable Historical Cases:</w:t>
      </w:r>
      <w:r w:rsidDel="00000000" w:rsidR="00000000" w:rsidRPr="00000000">
        <w:rPr>
          <w:rFonts w:ascii="Google Sans Text" w:cs="Google Sans Text" w:eastAsia="Google Sans Text" w:hAnsi="Google Sans Text"/>
          <w:color w:val="1f1f1f"/>
          <w:rtl w:val="0"/>
        </w:rPr>
        <w:t xml:space="preserve"> A visualization of how similar applications were treated in the past, ensuring consistency across the portfolio.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Confidence Levels:</w:t>
      </w:r>
      <w:r w:rsidDel="00000000" w:rsidR="00000000" w:rsidRPr="00000000">
        <w:rPr>
          <w:rFonts w:ascii="Google Sans Text" w:cs="Google Sans Text" w:eastAsia="Google Sans Text" w:hAnsi="Google Sans Text"/>
          <w:color w:val="1f1f1f"/>
          <w:rtl w:val="0"/>
        </w:rPr>
        <w:t xml:space="preserve"> A metric showing the AI's certainty in its own recommendation, which helps the underwriter calibrate their level of scrutiny.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Feedback and Learning Loop</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interface includes a structured feedback capture mechanism, where underwriters can validate, partially accept, or override AI recommendations.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When a divergence occurs, the underwriter provides a rationale, which is then explicitly used as a learning mechanism for the AI.</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"Human-on-the-Loop" pattern ensures that the AI's behavior continuously improves without ever gaining autonomous decision authority over high-stakes outcomes.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Multi-Agent Workflow Automation Pane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"Workflow Demo" pane provides a real-time visualization of the end-to-end automation capabilities occurring in the background. This vertical pane shows the multi-agent system in action, moving from ingestion to final recommendation [User Query].</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Submission Ingestion and Triage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workflow begins with the </w:t>
      </w:r>
      <w:r w:rsidDel="00000000" w:rsidR="00000000" w:rsidRPr="00000000">
        <w:rPr>
          <w:rFonts w:ascii="Google Sans Text" w:cs="Google Sans Text" w:eastAsia="Google Sans Text" w:hAnsi="Google Sans Text"/>
          <w:b w:val="1"/>
          <w:bCs w:val="1"/>
          <w:color w:val="1f1f1f"/>
          <w:rtl w:val="0"/>
        </w:rPr>
        <w:t xml:space="preserve">Submission Ingestion Agent</w:t>
      </w:r>
      <w:r w:rsidDel="00000000" w:rsidR="00000000" w:rsidRPr="00000000">
        <w:rPr>
          <w:rFonts w:ascii="Google Sans Text" w:cs="Google Sans Text" w:eastAsia="Google Sans Text" w:hAnsi="Google Sans Text"/>
          <w:color w:val="1f1f1f"/>
          <w:rtl w:val="0"/>
        </w:rPr>
        <w:t xml:space="preserve">, which automatically extracts data from unstructured emails, ACORD forms, and doctor reports.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is followed by the </w:t>
      </w:r>
      <w:r w:rsidDel="00000000" w:rsidR="00000000" w:rsidRPr="00000000">
        <w:rPr>
          <w:rFonts w:ascii="Google Sans Text" w:cs="Google Sans Text" w:eastAsia="Google Sans Text" w:hAnsi="Google Sans Text"/>
          <w:b w:val="1"/>
          <w:bCs w:val="1"/>
          <w:color w:val="1f1f1f"/>
          <w:rtl w:val="0"/>
        </w:rPr>
        <w:t xml:space="preserve">Triage Agent</w:t>
      </w:r>
      <w:r w:rsidDel="00000000" w:rsidR="00000000" w:rsidRPr="00000000">
        <w:rPr>
          <w:rFonts w:ascii="Google Sans Text" w:cs="Google Sans Text" w:eastAsia="Google Sans Text" w:hAnsi="Google Sans Text"/>
          <w:color w:val="1f1f1f"/>
          <w:rtl w:val="0"/>
        </w:rPr>
        <w:t xml:space="preserve">, which assesses the application against current underwriting appetite.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If a submission is "out-of-appetite" (e.g., an applicant outside the age or face amount limits), it is flagged for quick decline, saving hours of manual review.</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Clearance and Data Enrichment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Clearance Agent</w:t>
      </w:r>
      <w:r w:rsidDel="00000000" w:rsidR="00000000" w:rsidRPr="00000000">
        <w:rPr>
          <w:rFonts w:ascii="Google Sans Text" w:cs="Google Sans Text" w:eastAsia="Google Sans Text" w:hAnsi="Google Sans Text"/>
          <w:color w:val="1f1f1f"/>
          <w:rtl w:val="0"/>
        </w:rPr>
        <w:t xml:space="preserve"> validates broker licenses and performs regulatory sanctions checks via API.</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Simultaneously, enrichment agents fetch third-party risk scores, credit attribute scores, and motor vehicle records.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process supplementally extracts online research data, providing a 360-degree view of the applicant before the underwriter even opens the file.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Risk Summarization and Drafting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Risk Summarization Agent</w:t>
      </w:r>
      <w:r w:rsidDel="00000000" w:rsidR="00000000" w:rsidRPr="00000000">
        <w:rPr>
          <w:rFonts w:ascii="Google Sans Text" w:cs="Google Sans Text" w:eastAsia="Google Sans Text" w:hAnsi="Google Sans Text"/>
          <w:color w:val="1f1f1f"/>
          <w:rtl w:val="0"/>
        </w:rPr>
        <w:t xml:space="preserve"> synthesizes the enriched data into a comprehensive view.</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identifies red flags, calculates preliminary risk scores, and generates a draft decision rationale.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entire sequence is visible in the automation pane, allowing the underwriter to see exactly which agents have completed their tasks and where the process currently stands.</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Future of the Underwriting Workbench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paradigm shift toward agentic PAS is driven by three fundamental principles: data-first over document-first, orchestrating the flow rather than individual tasks, and employing invisible but auditable controls.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2030, the underwriter’s role will shift from manual data manipulation to portfolio-based decisioning.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Implications for Insurers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Carriers that adopt these next-generation workstations can expect a 30 percent to 50 percent reduction in quote turnaround times and a 5 to 10 point improvement in "hit" or "win" rates due to more responsive and accurate quoting.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the move to cloud-native platforms like Majesco, Guidewire, or Unqork enables insurers to scale their operations without a proportional increase in administrative staff.</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Business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Continuous Underwriting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Real-time health/lifestyle monitoring.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Dynamic pricing and improved retention.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Low-Code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Business-led rule and rating updates.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Accelerated time-to-market for new products.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Integrated Risk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Merged internal and external data streams.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Deeper insight into initial and ongoing risk profiles.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Algorithmic Oversight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Documented exceptions and bias detection.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Strengthened trust with regulators and reinsurers.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Underwriter of the Future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PAS environment becomes more automated, the underwriter’s focus will move toward high-complexity exception handling, ethical risk assessment, and relationship management with brokers.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workstation described in this report is designed to facilitate this transition, transforming the underwriting process from a document-led burden into a data-rich, insight-driven engine for growth.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orchestrating data, process, and intelligence within a single high-fidelity interface, life insurers can achieve the agility and precision required to thrive in a market increasingly shaped by immediacy and personalization.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Path to Structured Autonomy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to an Agentic AI-enabled Policy Administration System represents a critical milestone in the digital transformation of the life insurance industry. By integrating advanced reasoning patterns—such as multi-agent orchestration, reflection mechanisms, and explainable AI—insurers can overcome the "cost of friction" that has historically plagued the underwriting process. The design of the workstation, centered on the three-pane model and the persistent Co-pilot, ensures that technology augments rather than replaces human expertise.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Through the rigorous application of ACORD standards and the deployment of Vision-Language Models for unstructured data, the modern PAS creates a transparent, auditable, and highly efficient workflow from intake to bind. The result is a system that not only accelerates decision-making and reduces operational risk but also builds lasting trust with policyholders, regulators, and distribution partners. As the industry moves toward 2030, this architecture will serve as the foundation for a more responsive, personalized, and resilient life insurance ecosystem.</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Underwriting 2030: Shift From Fragmented to Foresight &amp; AI! - WNS, accessed February 5, 2026, </w:t>
      </w:r>
      <w:hyperlink r:id="rId6">
        <w:r w:rsidDel="00000000" w:rsidR="00000000" w:rsidRPr="00000000">
          <w:rPr>
            <w:rFonts w:ascii="Google Sans" w:cs="Google Sans" w:eastAsia="Google Sans" w:hAnsi="Google Sans"/>
            <w:color w:val="0000ee"/>
            <w:sz w:val="24"/>
            <w:szCs w:val="24"/>
            <w:u w:val="single"/>
            <w:rtl w:val="0"/>
          </w:rPr>
          <w:t xml:space="preserve">https://www.wns.com/perspectives/articles/underwriting-in-2030-the-shift-from-fragmentation-to-foresight</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Is Not Optional: Designing Oversight into Agentic AI Systems, accessed February 5, 2026, </w:t>
      </w:r>
      <w:hyperlink r:id="rId7">
        <w:r w:rsidDel="00000000" w:rsidR="00000000" w:rsidRPr="00000000">
          <w:rPr>
            <w:rFonts w:ascii="Google Sans" w:cs="Google Sans" w:eastAsia="Google Sans" w:hAnsi="Google Sans"/>
            <w:color w:val="0000ee"/>
            <w:sz w:val="24"/>
            <w:szCs w:val="24"/>
            <w:u w:val="single"/>
            <w:rtl w:val="0"/>
          </w:rPr>
          <w:t xml:space="preserve">https://www.spear-tech.com/human-in-the-loop-is-not-optional-designing-oversight-into-agentic-ai-systems/</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AI Insurance: Why HITL Matters in 2026, accessed February 5, 2026, </w:t>
      </w:r>
      <w:hyperlink r:id="rId8">
        <w:r w:rsidDel="00000000" w:rsidR="00000000" w:rsidRPr="00000000">
          <w:rPr>
            <w:rFonts w:ascii="Google Sans" w:cs="Google Sans" w:eastAsia="Google Sans" w:hAnsi="Google Sans"/>
            <w:color w:val="0000ee"/>
            <w:sz w:val="24"/>
            <w:szCs w:val="24"/>
            <w:u w:val="single"/>
            <w:rtl w:val="0"/>
          </w:rPr>
          <w:t xml:space="preserve">https://www.intellectai.com/why-human-in-the-loop-is-essential-in-insurance-ai/</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App Design Guide: Features &amp; UI/UX Tips - Gapsy Studio, accessed February 5, 2026, </w:t>
      </w:r>
      <w:hyperlink r:id="rId9">
        <w:r w:rsidDel="00000000" w:rsidR="00000000" w:rsidRPr="00000000">
          <w:rPr>
            <w:rFonts w:ascii="Google Sans" w:cs="Google Sans" w:eastAsia="Google Sans" w:hAnsi="Google Sans"/>
            <w:color w:val="0000ee"/>
            <w:sz w:val="24"/>
            <w:szCs w:val="24"/>
            <w:u w:val="single"/>
            <w:rtl w:val="0"/>
          </w:rPr>
          <w:t xml:space="preserve">https://gapsystudio.com/blog/insurance-app-design/</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UI Design Guide to Improve Insurance User Interface - Hicron Software, accessed February 5, 2026, </w:t>
      </w:r>
      <w:hyperlink r:id="rId10">
        <w:r w:rsidDel="00000000" w:rsidR="00000000" w:rsidRPr="00000000">
          <w:rPr>
            <w:rFonts w:ascii="Google Sans" w:cs="Google Sans" w:eastAsia="Google Sans" w:hAnsi="Google Sans"/>
            <w:color w:val="0000ee"/>
            <w:sz w:val="24"/>
            <w:szCs w:val="24"/>
            <w:u w:val="single"/>
            <w:rtl w:val="0"/>
          </w:rPr>
          <w:t xml:space="preserve">https://hicronsoftware.com/blog/insurance-ui-design/</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Underwriting Workbench: How to Set Up for Success - Appian, accessed February 5, 2026, </w:t>
      </w:r>
      <w:hyperlink r:id="rId11">
        <w:r w:rsidDel="00000000" w:rsidR="00000000" w:rsidRPr="00000000">
          <w:rPr>
            <w:rFonts w:ascii="Google Sans" w:cs="Google Sans" w:eastAsia="Google Sans" w:hAnsi="Google Sans"/>
            <w:color w:val="0000ee"/>
            <w:sz w:val="24"/>
            <w:szCs w:val="24"/>
            <w:u w:val="single"/>
            <w:rtl w:val="0"/>
          </w:rPr>
          <w:t xml:space="preserve">https://appian.com/learn/topics/automated-underwriting/underwriting-workbench</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Insurance Solutions - Insurance Portal Solutions - Majesco, accessed February 5, 2026, </w:t>
      </w:r>
      <w:hyperlink r:id="rId12">
        <w:r w:rsidDel="00000000" w:rsidR="00000000" w:rsidRPr="00000000">
          <w:rPr>
            <w:rFonts w:ascii="Google Sans" w:cs="Google Sans" w:eastAsia="Google Sans" w:hAnsi="Google Sans"/>
            <w:color w:val="0000ee"/>
            <w:sz w:val="24"/>
            <w:szCs w:val="24"/>
            <w:u w:val="single"/>
            <w:rtl w:val="0"/>
          </w:rPr>
          <w:t xml:space="preserve">https://www.majesco.com/digital-solutions-overview/</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Underwriting Software - UnderwritingCenter - Guidewire, accessed February 5, 2026, </w:t>
      </w:r>
      <w:hyperlink r:id="rId13">
        <w:r w:rsidDel="00000000" w:rsidR="00000000" w:rsidRPr="00000000">
          <w:rPr>
            <w:rFonts w:ascii="Google Sans" w:cs="Google Sans" w:eastAsia="Google Sans" w:hAnsi="Google Sans"/>
            <w:color w:val="0000ee"/>
            <w:sz w:val="24"/>
            <w:szCs w:val="24"/>
            <w:u w:val="single"/>
            <w:rtl w:val="0"/>
          </w:rPr>
          <w:t xml:space="preserve">https://www.guidewire.com/products/core-products/insurancesuite/underwritingcenter-insurance-underwriting-software</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Underwriter of the Future - EPIC Insurance Brokers &amp; Consultants, accessed February 5, 2026, </w:t>
      </w:r>
      <w:hyperlink r:id="rId14">
        <w:r w:rsidDel="00000000" w:rsidR="00000000" w:rsidRPr="00000000">
          <w:rPr>
            <w:rFonts w:ascii="Google Sans" w:cs="Google Sans" w:eastAsia="Google Sans" w:hAnsi="Google Sans"/>
            <w:color w:val="0000ee"/>
            <w:sz w:val="24"/>
            <w:szCs w:val="24"/>
            <w:u w:val="single"/>
            <w:rtl w:val="0"/>
          </w:rPr>
          <w:t xml:space="preserve">https://www.epicbrokers.com/insights/underwriter-of-the-future/</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Insurance Underwriting Best Practices for Better Workflows, accessed February 5, 2026, </w:t>
      </w:r>
      <w:hyperlink r:id="rId15">
        <w:r w:rsidDel="00000000" w:rsidR="00000000" w:rsidRPr="00000000">
          <w:rPr>
            <w:rFonts w:ascii="Google Sans" w:cs="Google Sans" w:eastAsia="Google Sans" w:hAnsi="Google Sans"/>
            <w:color w:val="0000ee"/>
            <w:sz w:val="24"/>
            <w:szCs w:val="24"/>
            <w:u w:val="single"/>
            <w:rtl w:val="0"/>
          </w:rPr>
          <w:t xml:space="preserve">https://www.herondata.io/blog/insurance-underwriting-best-practices</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Models for Life Insurance: Turning Risk into Right-decisions | Newgen - Newgensoft, accessed February 5, 2026, </w:t>
      </w:r>
      <w:hyperlink r:id="rId16">
        <w:r w:rsidDel="00000000" w:rsidR="00000000" w:rsidRPr="00000000">
          <w:rPr>
            <w:rFonts w:ascii="Google Sans" w:cs="Google Sans" w:eastAsia="Google Sans" w:hAnsi="Google Sans"/>
            <w:color w:val="0000ee"/>
            <w:sz w:val="24"/>
            <w:szCs w:val="24"/>
            <w:u w:val="single"/>
            <w:rtl w:val="0"/>
          </w:rPr>
          <w:t xml:space="preserve">https://newgensoft.com/resources/article/ai-models-for-life-insurance/</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Pixels to Proof: OCR Document Verification Made It Real - Gridlines, accessed February 5, 2026, </w:t>
      </w:r>
      <w:hyperlink r:id="rId17">
        <w:r w:rsidDel="00000000" w:rsidR="00000000" w:rsidRPr="00000000">
          <w:rPr>
            <w:rFonts w:ascii="Google Sans" w:cs="Google Sans" w:eastAsia="Google Sans" w:hAnsi="Google Sans"/>
            <w:color w:val="0000ee"/>
            <w:sz w:val="24"/>
            <w:szCs w:val="24"/>
            <w:u w:val="single"/>
            <w:rtl w:val="0"/>
          </w:rPr>
          <w:t xml:space="preserve">https://gridlines.io/blogs/ocr-document-verification/</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Behind the scenes of life insurance underwriting - Individual - Corebridge Financial, accessed February 5, 2026, </w:t>
      </w:r>
      <w:hyperlink r:id="rId18">
        <w:r w:rsidDel="00000000" w:rsidR="00000000" w:rsidRPr="00000000">
          <w:rPr>
            <w:rFonts w:ascii="Google Sans" w:cs="Google Sans" w:eastAsia="Google Sans" w:hAnsi="Google Sans"/>
            <w:color w:val="0000ee"/>
            <w:sz w:val="24"/>
            <w:szCs w:val="24"/>
            <w:u w:val="single"/>
            <w:rtl w:val="0"/>
          </w:rPr>
          <w:t xml:space="preserve">https://www.corebridgefinancial.com/insights-education/behind-the-scenes-of-life-insurance-underwriting</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Insurance Underwriting Predictions For 2026 - Damco Solutions, accessed February 5, 2026, </w:t>
      </w:r>
      <w:hyperlink r:id="rId19">
        <w:r w:rsidDel="00000000" w:rsidR="00000000" w:rsidRPr="00000000">
          <w:rPr>
            <w:rFonts w:ascii="Google Sans" w:cs="Google Sans" w:eastAsia="Google Sans" w:hAnsi="Google Sans"/>
            <w:color w:val="0000ee"/>
            <w:sz w:val="24"/>
            <w:szCs w:val="24"/>
            <w:u w:val="single"/>
            <w:rtl w:val="0"/>
          </w:rPr>
          <w:t xml:space="preserve">https://www.damcogroup.com/blogs/life-insurance-underwriting-predictions</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Underwriting Automation – Redefining Life &amp; P&amp;C Insurance with AI and Data - UST, accessed February 5, 2026, </w:t>
      </w:r>
      <w:hyperlink r:id="rId20">
        <w:r w:rsidDel="00000000" w:rsidR="00000000" w:rsidRPr="00000000">
          <w:rPr>
            <w:rFonts w:ascii="Google Sans" w:cs="Google Sans" w:eastAsia="Google Sans" w:hAnsi="Google Sans"/>
            <w:color w:val="0000ee"/>
            <w:sz w:val="24"/>
            <w:szCs w:val="24"/>
            <w:u w:val="single"/>
            <w:rtl w:val="0"/>
          </w:rPr>
          <w:t xml:space="preserve">https://www.ust.com/en/insights/underwriting-automation-redefining-life-and-pandc-insurance-with-ai-and-data</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&amp; Underwriting Workbench for Group &amp; Voluntary Benefits - Majesco, accessed February 5, 2026, </w:t>
      </w:r>
      <w:hyperlink r:id="rId21">
        <w:r w:rsidDel="00000000" w:rsidR="00000000" w:rsidRPr="00000000">
          <w:rPr>
            <w:rFonts w:ascii="Google Sans" w:cs="Google Sans" w:eastAsia="Google Sans" w:hAnsi="Google Sans"/>
            <w:color w:val="0000ee"/>
            <w:sz w:val="24"/>
            <w:szCs w:val="24"/>
            <w:u w:val="single"/>
            <w:rtl w:val="0"/>
          </w:rPr>
          <w:t xml:space="preserve">https://www.majesco.com/eguides/intelligent-sales-underwriting-workbench-simplifying-quote-rate-and-renewal-processes/</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in Agentic AI Underwriting - VirtusLab, accessed February 5, 2026, </w:t>
      </w:r>
      <w:hyperlink r:id="rId22">
        <w:r w:rsidDel="00000000" w:rsidR="00000000" w:rsidRPr="00000000">
          <w:rPr>
            <w:rFonts w:ascii="Google Sans" w:cs="Google Sans" w:eastAsia="Google Sans" w:hAnsi="Google Sans"/>
            <w:color w:val="0000ee"/>
            <w:sz w:val="24"/>
            <w:szCs w:val="24"/>
            <w:u w:val="single"/>
            <w:rtl w:val="0"/>
          </w:rPr>
          <w:t xml:space="preserve">https://virtuslab.com/blog/ai/human-in-the-loop-in-agentic-ai-underwriting/</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Underwriting Technology and Its Impact on Modern Consumers - VRC Insurance Systems, accessed February 5, 2026, </w:t>
      </w:r>
      <w:hyperlink r:id="rId23">
        <w:r w:rsidDel="00000000" w:rsidR="00000000" w:rsidRPr="00000000">
          <w:rPr>
            <w:rFonts w:ascii="Google Sans" w:cs="Google Sans" w:eastAsia="Google Sans" w:hAnsi="Google Sans"/>
            <w:color w:val="0000ee"/>
            <w:sz w:val="24"/>
            <w:szCs w:val="24"/>
            <w:u w:val="single"/>
            <w:rtl w:val="0"/>
          </w:rPr>
          <w:t xml:space="preserve">https://www.vrcis.com/blog/underwriting-technology-impact-on-modern-consumers/</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and Decision Intelligence for Enterprises - SG Analytics, accessed February 5, 2026, </w:t>
      </w:r>
      <w:hyperlink r:id="rId24">
        <w:r w:rsidDel="00000000" w:rsidR="00000000" w:rsidRPr="00000000">
          <w:rPr>
            <w:rFonts w:ascii="Google Sans" w:cs="Google Sans" w:eastAsia="Google Sans" w:hAnsi="Google Sans"/>
            <w:color w:val="0000ee"/>
            <w:sz w:val="24"/>
            <w:szCs w:val="24"/>
            <w:u w:val="single"/>
            <w:rtl w:val="0"/>
          </w:rPr>
          <w:t xml:space="preserve">https://www.sganalytics.com/blog/agentic-ai-and-decision-intelligence/</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(XAI) in Insurance: Benefits and Use Cases - A3Logics, accessed February 5, 2026, </w:t>
      </w:r>
      <w:hyperlink r:id="rId25">
        <w:r w:rsidDel="00000000" w:rsidR="00000000" w:rsidRPr="00000000">
          <w:rPr>
            <w:rFonts w:ascii="Google Sans" w:cs="Google Sans" w:eastAsia="Google Sans" w:hAnsi="Google Sans"/>
            <w:color w:val="0000ee"/>
            <w:sz w:val="24"/>
            <w:szCs w:val="24"/>
            <w:u w:val="single"/>
            <w:rtl w:val="0"/>
          </w:rPr>
          <w:t xml:space="preserve">https://www.a3logics.com/blog/explainable-ai-in-insurance/</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(XAI) in Insurance: Moving Beyond the “Black Box” - Brisc AI, accessed February 5, 2026, </w:t>
      </w:r>
      <w:hyperlink r:id="rId26">
        <w:r w:rsidDel="00000000" w:rsidR="00000000" w:rsidRPr="00000000">
          <w:rPr>
            <w:rFonts w:ascii="Google Sans" w:cs="Google Sans" w:eastAsia="Google Sans" w:hAnsi="Google Sans"/>
            <w:color w:val="0000ee"/>
            <w:sz w:val="24"/>
            <w:szCs w:val="24"/>
            <w:u w:val="single"/>
            <w:rtl w:val="0"/>
          </w:rPr>
          <w:t xml:space="preserve">https://brisc.ai/blog/explainable-ai-xai-in-insurance-moving-beyond-the-black-box</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(XAI): Techniques for Model Interpretability in Regulated Sectors, accessed February 5, 2026, </w:t>
      </w:r>
      <w:hyperlink r:id="rId27">
        <w:r w:rsidDel="00000000" w:rsidR="00000000" w:rsidRPr="00000000">
          <w:rPr>
            <w:rFonts w:ascii="Google Sans" w:cs="Google Sans" w:eastAsia="Google Sans" w:hAnsi="Google Sans"/>
            <w:color w:val="0000ee"/>
            <w:sz w:val="24"/>
            <w:szCs w:val="24"/>
            <w:u w:val="single"/>
            <w:rtl w:val="0"/>
          </w:rPr>
          <w:t xml:space="preserve">https://www.practicallogix.com/explainable-ai-xai-techniques-for-model-interpretability-in-regulated-sectors/</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in Insurance: Audit-Ready Decisions Across Core Workflows - Smallest.ai, accessed February 5, 2026, </w:t>
      </w:r>
      <w:hyperlink r:id="rId28">
        <w:r w:rsidDel="00000000" w:rsidR="00000000" w:rsidRPr="00000000">
          <w:rPr>
            <w:rFonts w:ascii="Google Sans" w:cs="Google Sans" w:eastAsia="Google Sans" w:hAnsi="Google Sans"/>
            <w:color w:val="0000ee"/>
            <w:sz w:val="24"/>
            <w:szCs w:val="24"/>
            <w:u w:val="single"/>
            <w:rtl w:val="0"/>
          </w:rPr>
          <w:t xml:space="preserve">https://smallest.ai/blog/explainable-ai-crucial-insurance</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AI in Regulated Industries: Building Trust Through Transparency, accessed February 5, 2026, </w:t>
      </w:r>
      <w:hyperlink r:id="rId29">
        <w:r w:rsidDel="00000000" w:rsidR="00000000" w:rsidRPr="00000000">
          <w:rPr>
            <w:rFonts w:ascii="Google Sans" w:cs="Google Sans" w:eastAsia="Google Sans" w:hAnsi="Google Sans"/>
            <w:color w:val="0000ee"/>
            <w:sz w:val="24"/>
            <w:szCs w:val="24"/>
            <w:u w:val="single"/>
            <w:rtl w:val="0"/>
          </w:rPr>
          <w:t xml:space="preserve">https://www.qodequay.com/explainable-ai-in-regulated-industries-building-trust-through-transparency</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Underwriting | Guidewire, accessed February 5, 2026, </w:t>
      </w:r>
      <w:hyperlink r:id="rId30">
        <w:r w:rsidDel="00000000" w:rsidR="00000000" w:rsidRPr="00000000">
          <w:rPr>
            <w:rFonts w:ascii="Google Sans" w:cs="Google Sans" w:eastAsia="Google Sans" w:hAnsi="Google Sans"/>
            <w:color w:val="0000ee"/>
            <w:sz w:val="24"/>
            <w:szCs w:val="24"/>
            <w:u w:val="single"/>
            <w:rtl w:val="0"/>
          </w:rPr>
          <w:t xml:space="preserve">https://www.guidewire.com/products/solutions/solutions-for-the-insurance-lifecycle/underwriting</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Solutions for Managing General Agents (MGAs) - Guidewire, accessed February 5, 2026, </w:t>
      </w:r>
      <w:hyperlink r:id="rId31">
        <w:r w:rsidDel="00000000" w:rsidR="00000000" w:rsidRPr="00000000">
          <w:rPr>
            <w:rFonts w:ascii="Google Sans" w:cs="Google Sans" w:eastAsia="Google Sans" w:hAnsi="Google Sans"/>
            <w:color w:val="0000ee"/>
            <w:sz w:val="24"/>
            <w:szCs w:val="24"/>
            <w:u w:val="single"/>
            <w:rtl w:val="0"/>
          </w:rPr>
          <w:t xml:space="preserve">https://www.guidewire.com/products/solutions/solutions-for-managing-general-agents</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KPI dashboard examples: design tips &amp; must‑track metrics - Statsig, accessed February 5, 2026, </w:t>
      </w:r>
      <w:hyperlink r:id="rId32">
        <w:r w:rsidDel="00000000" w:rsidR="00000000" w:rsidRPr="00000000">
          <w:rPr>
            <w:rFonts w:ascii="Google Sans" w:cs="Google Sans" w:eastAsia="Google Sans" w:hAnsi="Google Sans"/>
            <w:color w:val="0000ee"/>
            <w:sz w:val="24"/>
            <w:szCs w:val="24"/>
            <w:u w:val="single"/>
            <w:rtl w:val="0"/>
          </w:rPr>
          <w:t xml:space="preserve">https://www.statsig.com/perspectives/kpi-dashboard-design-tips-metrics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KPI Dashboards for Monitoring Agent Performance - Insight7 - Call Analytics &amp; AI Coaching for Customer Teams, accessed February 5, 2026, </w:t>
      </w:r>
      <w:hyperlink r:id="rId33">
        <w:r w:rsidDel="00000000" w:rsidR="00000000" w:rsidRPr="00000000">
          <w:rPr>
            <w:rFonts w:ascii="Google Sans" w:cs="Google Sans" w:eastAsia="Google Sans" w:hAnsi="Google Sans"/>
            <w:color w:val="0000ee"/>
            <w:sz w:val="24"/>
            <w:szCs w:val="24"/>
            <w:u w:val="single"/>
            <w:rtl w:val="0"/>
          </w:rPr>
          <w:t xml:space="preserve">https://insight7.io/designing-kpi-dashboards-for-monitoring-agent-performance/</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Fast-Track to the Future: How Digital Underwriting is Revolutionizing Life Insurance, accessed February 5, 2026, </w:t>
      </w:r>
      <w:hyperlink r:id="rId34">
        <w:r w:rsidDel="00000000" w:rsidR="00000000" w:rsidRPr="00000000">
          <w:rPr>
            <w:rFonts w:ascii="Google Sans" w:cs="Google Sans" w:eastAsia="Google Sans" w:hAnsi="Google Sans"/>
            <w:color w:val="0000ee"/>
            <w:sz w:val="24"/>
            <w:szCs w:val="24"/>
            <w:u w:val="single"/>
            <w:rtl w:val="0"/>
          </w:rPr>
          <w:t xml:space="preserve">https://iireporter.com/fast-track-to-the-future-how-digital-underwriting-is-revolutionizing-life-insurance/</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Flat extra ratings for life insurance - Term Insurance Brokers, accessed February 5, 2026, </w:t>
      </w:r>
      <w:hyperlink r:id="rId35">
        <w:r w:rsidDel="00000000" w:rsidR="00000000" w:rsidRPr="00000000">
          <w:rPr>
            <w:rFonts w:ascii="Google Sans" w:cs="Google Sans" w:eastAsia="Google Sans" w:hAnsi="Google Sans"/>
            <w:color w:val="0000ee"/>
            <w:sz w:val="24"/>
            <w:szCs w:val="24"/>
            <w:u w:val="single"/>
            <w:rtl w:val="0"/>
          </w:rPr>
          <w:t xml:space="preserve">https://terminsurancebrokers.com/flat-extra-ratings-life-insurance/</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Insurance Table Ratings Explained - Diversified Insurance Brokers, accessed February 5, 2026, </w:t>
      </w:r>
      <w:hyperlink r:id="rId36">
        <w:r w:rsidDel="00000000" w:rsidR="00000000" w:rsidRPr="00000000">
          <w:rPr>
            <w:rFonts w:ascii="Google Sans" w:cs="Google Sans" w:eastAsia="Google Sans" w:hAnsi="Google Sans"/>
            <w:color w:val="0000ee"/>
            <w:sz w:val="24"/>
            <w:szCs w:val="24"/>
            <w:u w:val="single"/>
            <w:rtl w:val="0"/>
          </w:rPr>
          <w:t xml:space="preserve">https://www.diversifiedquotes.com/life-insurance-table-ratings-explained/</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Knowledge Graphs with A2UI: Why AI Reasoning Looks ..., accessed February 5, 2026, </w:t>
      </w:r>
      <w:hyperlink r:id="rId37">
        <w:r w:rsidDel="00000000" w:rsidR="00000000" w:rsidRPr="00000000">
          <w:rPr>
            <w:rFonts w:ascii="Google Sans" w:cs="Google Sans" w:eastAsia="Google Sans" w:hAnsi="Google Sans"/>
            <w:color w:val="0000ee"/>
            <w:sz w:val="24"/>
            <w:szCs w:val="24"/>
            <w:u w:val="single"/>
            <w:rtl w:val="0"/>
          </w:rPr>
          <w:t xml:space="preserve">https://medium.com/@visrow/agentic-knowledge-graphs-with-a2ui-why-ai-reasoning-looks-different-in-2026-8e51f3d26cec</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Underwriting in Life Insurance: Predictions and Optimisation (Industry Track) - OPUS at UTS, accessed February 5, 2026, </w:t>
      </w:r>
      <w:hyperlink r:id="rId38">
        <w:r w:rsidDel="00000000" w:rsidR="00000000" w:rsidRPr="00000000">
          <w:rPr>
            <w:rFonts w:ascii="Google Sans" w:cs="Google Sans" w:eastAsia="Google Sans" w:hAnsi="Google Sans"/>
            <w:color w:val="0000ee"/>
            <w:sz w:val="24"/>
            <w:szCs w:val="24"/>
            <w:u w:val="single"/>
            <w:rtl w:val="0"/>
          </w:rPr>
          <w:t xml:space="preserve">https://opus.lib.uts.edu.au/bitstream/10453/126034/1/ADC_2018_paper_49.pdf</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&amp; Annuity Data Standards - ACORD, accessed February 5, 2026, </w:t>
      </w:r>
      <w:hyperlink r:id="rId39">
        <w:r w:rsidDel="00000000" w:rsidR="00000000" w:rsidRPr="00000000">
          <w:rPr>
            <w:rFonts w:ascii="Google Sans" w:cs="Google Sans" w:eastAsia="Google Sans" w:hAnsi="Google Sans"/>
            <w:color w:val="0000ee"/>
            <w:sz w:val="24"/>
            <w:szCs w:val="24"/>
            <w:u w:val="single"/>
            <w:rtl w:val="0"/>
          </w:rPr>
          <w:t xml:space="preserve">https://www.acord.org/standards-architecture/acord-data-standards/Life_Annuity_Data_Standards</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ACORD Global Life Insurance Value Creation - Study | Oracle, accessed February 5, 2026, </w:t>
      </w:r>
      <w:hyperlink r:id="rId40">
        <w:r w:rsidDel="00000000" w:rsidR="00000000" w:rsidRPr="00000000">
          <w:rPr>
            <w:rFonts w:ascii="Google Sans" w:cs="Google Sans" w:eastAsia="Google Sans" w:hAnsi="Google Sans"/>
            <w:color w:val="0000ee"/>
            <w:sz w:val="24"/>
            <w:szCs w:val="24"/>
            <w:u w:val="single"/>
            <w:rtl w:val="0"/>
          </w:rPr>
          <w:t xml:space="preserve">https://www.oracle.com/a/ocom/docs/dc/acord-global-life-value-creation.pdf?elqTrackId=b4aff69c25174752834a43e5cb7eaad7&amp;elqaid=73045&amp;elqat=2</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in Life Insurance Underwriting | Cognizant, accessed February 5, 2026, </w:t>
      </w:r>
      <w:hyperlink r:id="rId41">
        <w:r w:rsidDel="00000000" w:rsidR="00000000" w:rsidRPr="00000000">
          <w:rPr>
            <w:rFonts w:ascii="Google Sans" w:cs="Google Sans" w:eastAsia="Google Sans" w:hAnsi="Google Sans"/>
            <w:color w:val="0000ee"/>
            <w:sz w:val="24"/>
            <w:szCs w:val="24"/>
            <w:u w:val="single"/>
            <w:rtl w:val="0"/>
          </w:rPr>
          <w:t xml:space="preserve">https://www.cognizant.com/us/en/insights/insights-blog/agentic-ai-in-life-insurance</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Individual Life Next Gen Underwriting Survey Summary Report, accessed February 5, 2026, </w:t>
      </w:r>
      <w:hyperlink r:id="rId42">
        <w:r w:rsidDel="00000000" w:rsidR="00000000" w:rsidRPr="00000000">
          <w:rPr>
            <w:rFonts w:ascii="Google Sans" w:cs="Google Sans" w:eastAsia="Google Sans" w:hAnsi="Google Sans"/>
            <w:color w:val="0000ee"/>
            <w:sz w:val="24"/>
            <w:szCs w:val="24"/>
            <w:u w:val="single"/>
            <w:rtl w:val="0"/>
          </w:rPr>
          <w:t xml:space="preserve">https://www.genre.com/us/knowledge/publications/2025/december/surveylhilnextgen25-en</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Table Ratings and How to Get Life Insurance with Health Conditions, accessed February 5, 2026, </w:t>
      </w:r>
      <w:hyperlink r:id="rId43">
        <w:r w:rsidDel="00000000" w:rsidR="00000000" w:rsidRPr="00000000">
          <w:rPr>
            <w:rFonts w:ascii="Google Sans" w:cs="Google Sans" w:eastAsia="Google Sans" w:hAnsi="Google Sans"/>
            <w:color w:val="0000ee"/>
            <w:sz w:val="24"/>
            <w:szCs w:val="24"/>
            <w:u w:val="single"/>
            <w:rtl w:val="0"/>
          </w:rPr>
          <w:t xml:space="preserve">https://www.utahavenue.com/single-post/understanding-table-ratings-and-how-to-get-life-insurance-with-health-conditions</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insurance underwriting: use cases and results from leading insurers - Shift Technology, accessed February 5, 2026, </w:t>
      </w:r>
      <w:hyperlink r:id="rId44">
        <w:r w:rsidDel="00000000" w:rsidR="00000000" w:rsidRPr="00000000">
          <w:rPr>
            <w:rFonts w:ascii="Google Sans" w:cs="Google Sans" w:eastAsia="Google Sans" w:hAnsi="Google Sans"/>
            <w:color w:val="0000ee"/>
            <w:sz w:val="24"/>
            <w:szCs w:val="24"/>
            <w:u w:val="single"/>
            <w:rtl w:val="0"/>
          </w:rPr>
          <w:t xml:space="preserve">https://www.shift-technology.com/resources/reports-and-insights/ai-in-underwriting-case-examples-from-leading-insurers</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Mistral OCR, accessed February 5, 2026, </w:t>
      </w:r>
      <w:hyperlink r:id="rId45">
        <w:r w:rsidDel="00000000" w:rsidR="00000000" w:rsidRPr="00000000">
          <w:rPr>
            <w:rFonts w:ascii="Google Sans" w:cs="Google Sans" w:eastAsia="Google Sans" w:hAnsi="Google Sans"/>
            <w:color w:val="0000ee"/>
            <w:sz w:val="24"/>
            <w:szCs w:val="24"/>
            <w:u w:val="single"/>
            <w:rtl w:val="0"/>
          </w:rPr>
          <w:t xml:space="preserve">https://mistral.ai/news/mistral-ocr</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Agentic AI Design Patterns | Enterprise Guide - Aufait UX, accessed February 5, 2026, </w:t>
      </w:r>
      <w:hyperlink r:id="rId46">
        <w:r w:rsidDel="00000000" w:rsidR="00000000" w:rsidRPr="00000000">
          <w:rPr>
            <w:rFonts w:ascii="Google Sans" w:cs="Google Sans" w:eastAsia="Google Sans" w:hAnsi="Google Sans"/>
            <w:color w:val="0000ee"/>
            <w:sz w:val="24"/>
            <w:szCs w:val="24"/>
            <w:u w:val="single"/>
            <w:rtl w:val="0"/>
          </w:rPr>
          <w:t xml:space="preserve">https://www.aufaitux.com/blog/agentic-ai-design-patterns-enterprise-guide/</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GenAI UX patterns, examples and implementation tactics | by Sharang Sharma, accessed February 5, 2026, </w:t>
      </w:r>
      <w:hyperlink r:id="rId47">
        <w:r w:rsidDel="00000000" w:rsidR="00000000" w:rsidRPr="00000000">
          <w:rPr>
            <w:rFonts w:ascii="Google Sans" w:cs="Google Sans" w:eastAsia="Google Sans" w:hAnsi="Google Sans"/>
            <w:color w:val="0000ee"/>
            <w:sz w:val="24"/>
            <w:szCs w:val="24"/>
            <w:u w:val="single"/>
            <w:rtl w:val="0"/>
          </w:rPr>
          <w:t xml:space="preserve">https://uxdesign.cc/20-genai-ux-patterns-examples-and-implementation-tactics-5b1868b7d4a1</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Insurance: 12 Key Use Cases for Underwriting &amp; Claims - V7 Go, accessed February 5, 2026, </w:t>
      </w:r>
      <w:hyperlink r:id="rId48">
        <w:r w:rsidDel="00000000" w:rsidR="00000000" w:rsidRPr="00000000">
          <w:rPr>
            <w:rFonts w:ascii="Google Sans" w:cs="Google Sans" w:eastAsia="Google Sans" w:hAnsi="Google Sans"/>
            <w:color w:val="0000ee"/>
            <w:sz w:val="24"/>
            <w:szCs w:val="24"/>
            <w:u w:val="single"/>
            <w:rtl w:val="0"/>
          </w:rPr>
          <w:t xml:space="preserve">https://www.v7labs.com/blog/ai-in-insurance-use-cases</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Underwriting Workbench: A Guide to Transforming the ... - Unqork, accessed February 5, 2026, </w:t>
      </w:r>
      <w:hyperlink r:id="rId49">
        <w:r w:rsidDel="00000000" w:rsidR="00000000" w:rsidRPr="00000000">
          <w:rPr>
            <w:rFonts w:ascii="Google Sans" w:cs="Google Sans" w:eastAsia="Google Sans" w:hAnsi="Google Sans"/>
            <w:color w:val="0000ee"/>
            <w:sz w:val="24"/>
            <w:szCs w:val="24"/>
            <w:u w:val="single"/>
            <w:rtl w:val="0"/>
          </w:rPr>
          <w:t xml:space="preserve">https://unqork.com/resource-center/briefs/the-underwriting-workbench-a-guide-to-transforming-the-insurance-value-chain/</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Insurance Software Platforms and Solutions in 2025: A Global Comparison - GoKlaim, accessed February 5, 2026, </w:t>
      </w:r>
      <w:hyperlink r:id="rId50">
        <w:r w:rsidDel="00000000" w:rsidR="00000000" w:rsidRPr="00000000">
          <w:rPr>
            <w:rFonts w:ascii="Google Sans" w:cs="Google Sans" w:eastAsia="Google Sans" w:hAnsi="Google Sans"/>
            <w:color w:val="0000ee"/>
            <w:sz w:val="24"/>
            <w:szCs w:val="24"/>
            <w:u w:val="single"/>
            <w:rtl w:val="0"/>
          </w:rPr>
          <w:t xml:space="preserve">https://goklaim.com/post/top-insurance-software-platforms-and-solutions-in-2025-a-global-comparison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oracle.com/a/ocom/docs/dc/acord-global-life-value-creation.pdf?elqTrackId=b4aff69c25174752834a43e5cb7eaad7&amp;elqaid=73045&amp;elqat=2" TargetMode="External"/><Relationship Id="rId42" Type="http://schemas.openxmlformats.org/officeDocument/2006/relationships/hyperlink" Target="https://www.genre.com/us/knowledge/publications/2025/december/surveylhilnextgen25-en" TargetMode="External"/><Relationship Id="rId41" Type="http://schemas.openxmlformats.org/officeDocument/2006/relationships/hyperlink" Target="https://www.cognizant.com/us/en/insights/insights-blog/agentic-ai-in-life-insurance" TargetMode="External"/><Relationship Id="rId44" Type="http://schemas.openxmlformats.org/officeDocument/2006/relationships/hyperlink" Target="https://www.shift-technology.com/resources/reports-and-insights/ai-in-underwriting-case-examples-from-leading-insurers" TargetMode="External"/><Relationship Id="rId43" Type="http://schemas.openxmlformats.org/officeDocument/2006/relationships/hyperlink" Target="https://www.utahavenue.com/single-post/understanding-table-ratings-and-how-to-get-life-insurance-with-health-conditions" TargetMode="External"/><Relationship Id="rId46" Type="http://schemas.openxmlformats.org/officeDocument/2006/relationships/hyperlink" Target="https://www.aufaitux.com/blog/agentic-ai-design-patterns-enterprise-guide/" TargetMode="External"/><Relationship Id="rId45" Type="http://schemas.openxmlformats.org/officeDocument/2006/relationships/hyperlink" Target="https://mistral.ai/news/mistral-oc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psystudio.com/blog/insurance-app-design/" TargetMode="External"/><Relationship Id="rId48" Type="http://schemas.openxmlformats.org/officeDocument/2006/relationships/hyperlink" Target="https://www.v7labs.com/blog/ai-in-insurance-use-cases" TargetMode="External"/><Relationship Id="rId47" Type="http://schemas.openxmlformats.org/officeDocument/2006/relationships/hyperlink" Target="https://uxdesign.cc/20-genai-ux-patterns-examples-and-implementation-tactics-5b1868b7d4a1" TargetMode="External"/><Relationship Id="rId49" Type="http://schemas.openxmlformats.org/officeDocument/2006/relationships/hyperlink" Target="https://unqork.com/resource-center/briefs/the-underwriting-workbench-a-guide-to-transforming-the-insurance-value-chain/" TargetMode="External"/><Relationship Id="rId5" Type="http://schemas.openxmlformats.org/officeDocument/2006/relationships/styles" Target="styles.xml"/><Relationship Id="rId6" Type="http://schemas.openxmlformats.org/officeDocument/2006/relationships/hyperlink" Target="https://www.wns.com/perspectives/articles/underwriting-in-2030-the-shift-from-fragmentation-to-foresight" TargetMode="External"/><Relationship Id="rId7" Type="http://schemas.openxmlformats.org/officeDocument/2006/relationships/hyperlink" Target="https://www.spear-tech.com/human-in-the-loop-is-not-optional-designing-oversight-into-agentic-ai-systems/" TargetMode="External"/><Relationship Id="rId8" Type="http://schemas.openxmlformats.org/officeDocument/2006/relationships/hyperlink" Target="https://www.intellectai.com/why-human-in-the-loop-is-essential-in-insurance-ai/" TargetMode="External"/><Relationship Id="rId31" Type="http://schemas.openxmlformats.org/officeDocument/2006/relationships/hyperlink" Target="https://www.guidewire.com/products/solutions/solutions-for-managing-general-agents" TargetMode="External"/><Relationship Id="rId30" Type="http://schemas.openxmlformats.org/officeDocument/2006/relationships/hyperlink" Target="https://www.guidewire.com/products/solutions/solutions-for-the-insurance-lifecycle/underwriting" TargetMode="External"/><Relationship Id="rId33" Type="http://schemas.openxmlformats.org/officeDocument/2006/relationships/hyperlink" Target="https://insight7.io/designing-kpi-dashboards-for-monitoring-agent-performance/" TargetMode="External"/><Relationship Id="rId32" Type="http://schemas.openxmlformats.org/officeDocument/2006/relationships/hyperlink" Target="https://www.statsig.com/perspectives/kpi-dashboard-design-tips-metrics" TargetMode="External"/><Relationship Id="rId35" Type="http://schemas.openxmlformats.org/officeDocument/2006/relationships/hyperlink" Target="https://terminsurancebrokers.com/flat-extra-ratings-life-insurance/" TargetMode="External"/><Relationship Id="rId34" Type="http://schemas.openxmlformats.org/officeDocument/2006/relationships/hyperlink" Target="https://iireporter.com/fast-track-to-the-future-how-digital-underwriting-is-revolutionizing-life-insurance/" TargetMode="External"/><Relationship Id="rId37" Type="http://schemas.openxmlformats.org/officeDocument/2006/relationships/hyperlink" Target="https://medium.com/@visrow/agentic-knowledge-graphs-with-a2ui-why-ai-reasoning-looks-different-in-2026-8e51f3d26cec" TargetMode="External"/><Relationship Id="rId36" Type="http://schemas.openxmlformats.org/officeDocument/2006/relationships/hyperlink" Target="https://www.diversifiedquotes.com/life-insurance-table-ratings-explained/" TargetMode="External"/><Relationship Id="rId39" Type="http://schemas.openxmlformats.org/officeDocument/2006/relationships/hyperlink" Target="https://www.acord.org/standards-architecture/acord-data-standards/Life_Annuity_Data_Standards" TargetMode="External"/><Relationship Id="rId38" Type="http://schemas.openxmlformats.org/officeDocument/2006/relationships/hyperlink" Target="https://opus.lib.uts.edu.au/bitstream/10453/126034/1/ADC_2018_paper_49.pdf" TargetMode="External"/><Relationship Id="rId20" Type="http://schemas.openxmlformats.org/officeDocument/2006/relationships/hyperlink" Target="https://www.ust.com/en/insights/underwriting-automation-redefining-life-and-pandc-insurance-with-ai-and-data" TargetMode="External"/><Relationship Id="rId22" Type="http://schemas.openxmlformats.org/officeDocument/2006/relationships/hyperlink" Target="https://virtuslab.com/blog/ai/human-in-the-loop-in-agentic-ai-underwriting/" TargetMode="External"/><Relationship Id="rId21" Type="http://schemas.openxmlformats.org/officeDocument/2006/relationships/hyperlink" Target="https://www.majesco.com/eguides/intelligent-sales-underwriting-workbench-simplifying-quote-rate-and-renewal-processes/" TargetMode="External"/><Relationship Id="rId24" Type="http://schemas.openxmlformats.org/officeDocument/2006/relationships/hyperlink" Target="https://www.sganalytics.com/blog/agentic-ai-and-decision-intelligence/" TargetMode="External"/><Relationship Id="rId23" Type="http://schemas.openxmlformats.org/officeDocument/2006/relationships/hyperlink" Target="https://www.vrcis.com/blog/underwriting-technology-impact-on-modern-consumers/" TargetMode="External"/><Relationship Id="rId26" Type="http://schemas.openxmlformats.org/officeDocument/2006/relationships/hyperlink" Target="https://brisc.ai/blog/explainable-ai-xai-in-insurance-moving-beyond-the-black-box" TargetMode="External"/><Relationship Id="rId25" Type="http://schemas.openxmlformats.org/officeDocument/2006/relationships/hyperlink" Target="https://www.a3logics.com/blog/explainable-ai-in-insurance/" TargetMode="External"/><Relationship Id="rId28" Type="http://schemas.openxmlformats.org/officeDocument/2006/relationships/hyperlink" Target="https://smallest.ai/blog/explainable-ai-crucial-insurance" TargetMode="External"/><Relationship Id="rId27" Type="http://schemas.openxmlformats.org/officeDocument/2006/relationships/hyperlink" Target="https://www.practicallogix.com/explainable-ai-xai-techniques-for-model-interpretability-in-regulated-sectors/" TargetMode="External"/><Relationship Id="rId29" Type="http://schemas.openxmlformats.org/officeDocument/2006/relationships/hyperlink" Target="https://www.qodequay.com/explainable-ai-in-regulated-industries-building-trust-through-transparency" TargetMode="External"/><Relationship Id="rId50" Type="http://schemas.openxmlformats.org/officeDocument/2006/relationships/hyperlink" Target="https://goklaim.com/post/top-insurance-software-platforms-and-solutions-in-2025-a-global-comparison" TargetMode="External"/><Relationship Id="rId11" Type="http://schemas.openxmlformats.org/officeDocument/2006/relationships/hyperlink" Target="https://appian.com/learn/topics/automated-underwriting/underwriting-workbench" TargetMode="External"/><Relationship Id="rId10" Type="http://schemas.openxmlformats.org/officeDocument/2006/relationships/hyperlink" Target="https://hicronsoftware.com/blog/insurance-ui-design/" TargetMode="External"/><Relationship Id="rId13" Type="http://schemas.openxmlformats.org/officeDocument/2006/relationships/hyperlink" Target="https://www.guidewire.com/products/core-products/insurancesuite/underwritingcenter-insurance-underwriting-software" TargetMode="External"/><Relationship Id="rId12" Type="http://schemas.openxmlformats.org/officeDocument/2006/relationships/hyperlink" Target="https://www.majesco.com/digital-solutions-overview/" TargetMode="External"/><Relationship Id="rId15" Type="http://schemas.openxmlformats.org/officeDocument/2006/relationships/hyperlink" Target="https://www.herondata.io/blog/insurance-underwriting-best-practices" TargetMode="External"/><Relationship Id="rId14" Type="http://schemas.openxmlformats.org/officeDocument/2006/relationships/hyperlink" Target="https://www.epicbrokers.com/insights/underwriter-of-the-future/" TargetMode="External"/><Relationship Id="rId17" Type="http://schemas.openxmlformats.org/officeDocument/2006/relationships/hyperlink" Target="https://gridlines.io/blogs/ocr-document-verification/" TargetMode="External"/><Relationship Id="rId16" Type="http://schemas.openxmlformats.org/officeDocument/2006/relationships/hyperlink" Target="https://newgensoft.com/resources/article/ai-models-for-life-insurance/" TargetMode="External"/><Relationship Id="rId19" Type="http://schemas.openxmlformats.org/officeDocument/2006/relationships/hyperlink" Target="https://www.damcogroup.com/blogs/life-insurance-underwriting-predictions" TargetMode="External"/><Relationship Id="rId18" Type="http://schemas.openxmlformats.org/officeDocument/2006/relationships/hyperlink" Target="https://www.corebridgefinancial.com/insights-education/behind-the-scenes-of-life-insurance-underwri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